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C969" w14:textId="77777777" w:rsidR="008D1D94" w:rsidRDefault="006F4F38" w:rsidP="008D1D94">
      <w:pPr>
        <w:rPr>
          <w:rFonts w:ascii="Times New Roman" w:hAnsi="Times New Roman" w:cs="Times New Roman"/>
          <w:b/>
          <w:bCs/>
        </w:rPr>
      </w:pPr>
      <w:bookmarkStart w:id="0" w:name="_GoBack"/>
      <w:bookmarkEnd w:id="0"/>
      <w:r w:rsidRPr="006F4F38">
        <w:rPr>
          <w:rFonts w:ascii="Arial" w:eastAsia="Times New Roman" w:hAnsi="Arial" w:cs="Arial"/>
          <w:b/>
          <w:bCs/>
          <w:color w:val="242424"/>
        </w:rPr>
        <w:br/>
      </w:r>
      <w:r w:rsidR="008D1D94">
        <w:rPr>
          <w:rFonts w:ascii="Times New Roman" w:hAnsi="Times New Roman" w:cs="Times New Roman"/>
          <w:b/>
          <w:bCs/>
        </w:rPr>
        <w:t>Quantifying drivers of uncertainty in land model predictions at global scales using machine learning</w:t>
      </w:r>
    </w:p>
    <w:p w14:paraId="4D248B53" w14:textId="77777777" w:rsidR="008D1D94" w:rsidRPr="00CD7E0F" w:rsidRDefault="008D1D94" w:rsidP="008D1D94">
      <w:pPr>
        <w:rPr>
          <w:rFonts w:ascii="Times New Roman" w:hAnsi="Times New Roman" w:cs="Times New Roman"/>
          <w:b/>
          <w:bCs/>
        </w:rPr>
      </w:pPr>
    </w:p>
    <w:p w14:paraId="0E01C240" w14:textId="77777777" w:rsidR="008D1D94" w:rsidRDefault="008D1D94" w:rsidP="008D1D94">
      <w:pPr>
        <w:rPr>
          <w:rFonts w:ascii="Times New Roman" w:hAnsi="Times New Roman" w:cs="Times New Roman"/>
          <w:b/>
          <w:bCs/>
        </w:rPr>
      </w:pPr>
      <w:r>
        <w:rPr>
          <w:rFonts w:ascii="Times New Roman" w:hAnsi="Times New Roman" w:cs="Times New Roman"/>
          <w:b/>
          <w:bCs/>
        </w:rPr>
        <w:t>Daniel Ricciuto</w:t>
      </w:r>
      <w:r w:rsidR="005E0B46">
        <w:rPr>
          <w:rFonts w:ascii="Times New Roman" w:hAnsi="Times New Roman" w:cs="Times New Roman"/>
          <w:b/>
          <w:bCs/>
          <w:vertAlign w:val="superscript"/>
        </w:rPr>
        <w:t>1</w:t>
      </w:r>
      <w:r>
        <w:rPr>
          <w:rFonts w:ascii="Times New Roman" w:hAnsi="Times New Roman" w:cs="Times New Roman"/>
          <w:b/>
          <w:bCs/>
        </w:rPr>
        <w:t xml:space="preserve">, </w:t>
      </w:r>
      <w:proofErr w:type="spellStart"/>
      <w:r>
        <w:rPr>
          <w:rFonts w:ascii="Times New Roman" w:hAnsi="Times New Roman" w:cs="Times New Roman"/>
          <w:b/>
          <w:bCs/>
        </w:rPr>
        <w:t>Khachik</w:t>
      </w:r>
      <w:proofErr w:type="spellEnd"/>
      <w:r>
        <w:rPr>
          <w:rFonts w:ascii="Times New Roman" w:hAnsi="Times New Roman" w:cs="Times New Roman"/>
          <w:b/>
          <w:bCs/>
        </w:rPr>
        <w:t xml:space="preserve"> Sargsyan</w:t>
      </w:r>
      <w:r w:rsidR="005E0B46" w:rsidRPr="00FF48EB">
        <w:rPr>
          <w:rFonts w:ascii="Times New Roman" w:hAnsi="Times New Roman" w:cs="Times New Roman"/>
          <w:b/>
          <w:bCs/>
          <w:vertAlign w:val="superscript"/>
        </w:rPr>
        <w:t>2</w:t>
      </w:r>
      <w:r>
        <w:rPr>
          <w:rFonts w:ascii="Times New Roman" w:hAnsi="Times New Roman" w:cs="Times New Roman"/>
          <w:b/>
          <w:bCs/>
        </w:rPr>
        <w:t>, Dan Lu</w:t>
      </w:r>
      <w:r w:rsidR="00521176">
        <w:rPr>
          <w:rFonts w:ascii="Times New Roman" w:hAnsi="Times New Roman" w:cs="Times New Roman"/>
          <w:b/>
          <w:bCs/>
          <w:vertAlign w:val="superscript"/>
        </w:rPr>
        <w:t>1</w:t>
      </w:r>
      <w:r>
        <w:rPr>
          <w:rFonts w:ascii="Times New Roman" w:hAnsi="Times New Roman" w:cs="Times New Roman"/>
          <w:b/>
          <w:bCs/>
        </w:rPr>
        <w:t xml:space="preserve">, </w:t>
      </w:r>
      <w:proofErr w:type="spellStart"/>
      <w:r>
        <w:rPr>
          <w:rFonts w:ascii="Times New Roman" w:hAnsi="Times New Roman" w:cs="Times New Roman"/>
          <w:b/>
          <w:bCs/>
        </w:rPr>
        <w:t>Jiafu</w:t>
      </w:r>
      <w:proofErr w:type="spellEnd"/>
      <w:r>
        <w:rPr>
          <w:rFonts w:ascii="Times New Roman" w:hAnsi="Times New Roman" w:cs="Times New Roman"/>
          <w:b/>
          <w:bCs/>
        </w:rPr>
        <w:t xml:space="preserve"> Mao</w:t>
      </w:r>
      <w:r w:rsidR="005E0B46">
        <w:rPr>
          <w:rFonts w:ascii="Times New Roman" w:hAnsi="Times New Roman" w:cs="Times New Roman"/>
          <w:b/>
          <w:bCs/>
          <w:vertAlign w:val="superscript"/>
        </w:rPr>
        <w:t>1</w:t>
      </w:r>
      <w:r>
        <w:rPr>
          <w:rFonts w:ascii="Times New Roman" w:hAnsi="Times New Roman" w:cs="Times New Roman"/>
          <w:b/>
          <w:bCs/>
        </w:rPr>
        <w:t xml:space="preserve">, </w:t>
      </w:r>
      <w:proofErr w:type="spellStart"/>
      <w:r>
        <w:rPr>
          <w:rFonts w:ascii="Times New Roman" w:hAnsi="Times New Roman" w:cs="Times New Roman"/>
          <w:b/>
          <w:bCs/>
        </w:rPr>
        <w:t>Anping</w:t>
      </w:r>
      <w:proofErr w:type="spellEnd"/>
      <w:r>
        <w:rPr>
          <w:rFonts w:ascii="Times New Roman" w:hAnsi="Times New Roman" w:cs="Times New Roman"/>
          <w:b/>
          <w:bCs/>
        </w:rPr>
        <w:t xml:space="preserve"> Chen</w:t>
      </w:r>
      <w:r w:rsidR="00521176">
        <w:rPr>
          <w:rFonts w:ascii="Times New Roman" w:hAnsi="Times New Roman" w:cs="Times New Roman"/>
          <w:b/>
          <w:bCs/>
          <w:vertAlign w:val="superscript"/>
        </w:rPr>
        <w:t>3</w:t>
      </w:r>
      <w:r>
        <w:rPr>
          <w:rFonts w:ascii="Times New Roman" w:hAnsi="Times New Roman" w:cs="Times New Roman"/>
          <w:b/>
          <w:bCs/>
        </w:rPr>
        <w:t xml:space="preserve"> </w:t>
      </w:r>
    </w:p>
    <w:p w14:paraId="7485D595" w14:textId="77777777" w:rsidR="005E0B46" w:rsidRDefault="005E0B46" w:rsidP="008D1D94">
      <w:pPr>
        <w:rPr>
          <w:rFonts w:ascii="Times New Roman" w:hAnsi="Times New Roman" w:cs="Times New Roman"/>
          <w:b/>
          <w:bCs/>
          <w:vertAlign w:val="superscript"/>
        </w:rPr>
      </w:pPr>
    </w:p>
    <w:p w14:paraId="4D5FA825" w14:textId="77777777" w:rsidR="00521176" w:rsidRPr="00521176" w:rsidRDefault="005E0B46" w:rsidP="008D1D94">
      <w:pPr>
        <w:rPr>
          <w:rFonts w:ascii="Times New Roman" w:hAnsi="Times New Roman" w:cs="Times New Roman"/>
        </w:rPr>
      </w:pPr>
      <w:r w:rsidRPr="00521176">
        <w:rPr>
          <w:rFonts w:ascii="Times New Roman" w:hAnsi="Times New Roman" w:cs="Times New Roman"/>
          <w:vertAlign w:val="superscript"/>
        </w:rPr>
        <w:t>1</w:t>
      </w:r>
      <w:r w:rsidR="008D1D94" w:rsidRPr="00521176">
        <w:rPr>
          <w:rFonts w:ascii="Times New Roman" w:hAnsi="Times New Roman" w:cs="Times New Roman"/>
        </w:rPr>
        <w:t xml:space="preserve"> </w:t>
      </w:r>
      <w:r w:rsidR="00521176" w:rsidRPr="00521176">
        <w:rPr>
          <w:rFonts w:ascii="Times New Roman" w:hAnsi="Times New Roman" w:cs="Times New Roman"/>
        </w:rPr>
        <w:t>Oak Ridge National Laboratory</w:t>
      </w:r>
    </w:p>
    <w:p w14:paraId="69C26663" w14:textId="77777777" w:rsidR="005E0B46" w:rsidRPr="00521176" w:rsidRDefault="005E0B46" w:rsidP="008D1D94">
      <w:pPr>
        <w:rPr>
          <w:rFonts w:ascii="Times New Roman" w:hAnsi="Times New Roman" w:cs="Times New Roman"/>
        </w:rPr>
      </w:pPr>
      <w:r w:rsidRPr="00521176">
        <w:rPr>
          <w:rFonts w:ascii="Times New Roman" w:hAnsi="Times New Roman" w:cs="Times New Roman"/>
          <w:vertAlign w:val="superscript"/>
        </w:rPr>
        <w:t>2</w:t>
      </w:r>
      <w:r w:rsidRPr="00521176">
        <w:rPr>
          <w:rFonts w:ascii="Times New Roman" w:hAnsi="Times New Roman" w:cs="Times New Roman"/>
        </w:rPr>
        <w:t xml:space="preserve"> Sandia National Laboratories</w:t>
      </w:r>
    </w:p>
    <w:p w14:paraId="0F44CB5B" w14:textId="4A5AFF97" w:rsidR="008D1D94" w:rsidRPr="0051506F" w:rsidRDefault="00521176" w:rsidP="006F4F38">
      <w:pPr>
        <w:rPr>
          <w:rFonts w:ascii="Times New Roman" w:hAnsi="Times New Roman" w:cs="Times New Roman"/>
        </w:rPr>
      </w:pPr>
      <w:r w:rsidRPr="00521176">
        <w:rPr>
          <w:rFonts w:ascii="Times New Roman" w:hAnsi="Times New Roman" w:cs="Times New Roman"/>
          <w:vertAlign w:val="superscript"/>
        </w:rPr>
        <w:t>3</w:t>
      </w:r>
      <w:r w:rsidR="005E0B46" w:rsidRPr="00521176">
        <w:rPr>
          <w:rFonts w:ascii="Times New Roman" w:hAnsi="Times New Roman" w:cs="Times New Roman"/>
        </w:rPr>
        <w:t xml:space="preserve"> Colorado State University </w:t>
      </w:r>
    </w:p>
    <w:p w14:paraId="5D3A1888" w14:textId="77777777" w:rsidR="008D1D94" w:rsidRDefault="008D1D94" w:rsidP="006F4F38">
      <w:pPr>
        <w:rPr>
          <w:rFonts w:ascii="Arial" w:eastAsia="Times New Roman" w:hAnsi="Arial" w:cs="Arial"/>
          <w:color w:val="242424"/>
        </w:rPr>
      </w:pPr>
    </w:p>
    <w:p w14:paraId="18CBF545" w14:textId="001FCA0B" w:rsidR="006F4F38" w:rsidRPr="006F4F38" w:rsidRDefault="0051506F" w:rsidP="006F4F38">
      <w:pPr>
        <w:rPr>
          <w:rFonts w:ascii="Arial" w:eastAsia="Times New Roman" w:hAnsi="Arial" w:cs="Arial"/>
          <w:color w:val="242424"/>
        </w:rPr>
      </w:pPr>
      <w:r w:rsidRPr="006F4F38">
        <w:rPr>
          <w:rFonts w:ascii="Arial" w:eastAsia="Times New Roman" w:hAnsi="Arial" w:cs="Arial"/>
          <w:color w:val="242424"/>
          <w:bdr w:val="none" w:sz="0" w:space="0" w:color="auto" w:frame="1"/>
        </w:rPr>
        <w:t xml:space="preserve">Uncertainty quantification (UQ) algorithms link observations and models together to produce credible simulations of Earth system behavior with uncertainty estimates.  </w:t>
      </w:r>
      <w:r>
        <w:rPr>
          <w:rFonts w:ascii="Arial" w:eastAsia="Times New Roman" w:hAnsi="Arial" w:cs="Arial"/>
          <w:color w:val="242424"/>
          <w:bdr w:val="none" w:sz="0" w:space="0" w:color="auto" w:frame="1"/>
        </w:rPr>
        <w:t>D</w:t>
      </w:r>
      <w:r w:rsidRPr="006F4F38">
        <w:rPr>
          <w:rFonts w:ascii="Arial" w:eastAsia="Times New Roman" w:hAnsi="Arial" w:cs="Arial"/>
          <w:color w:val="242424"/>
          <w:bdr w:val="none" w:sz="0" w:space="0" w:color="auto" w:frame="1"/>
        </w:rPr>
        <w:t xml:space="preserve">imension-reduction techniques </w:t>
      </w:r>
      <w:r>
        <w:rPr>
          <w:rFonts w:ascii="Arial" w:eastAsia="Times New Roman" w:hAnsi="Arial" w:cs="Arial"/>
          <w:color w:val="242424"/>
          <w:bdr w:val="none" w:sz="0" w:space="0" w:color="auto" w:frame="1"/>
        </w:rPr>
        <w:t xml:space="preserve">in combination with machine learning </w:t>
      </w:r>
      <w:r w:rsidRPr="006F4F38">
        <w:rPr>
          <w:rFonts w:ascii="Arial" w:eastAsia="Times New Roman" w:hAnsi="Arial" w:cs="Arial"/>
          <w:color w:val="242424"/>
          <w:bdr w:val="none" w:sz="0" w:space="0" w:color="auto" w:frame="1"/>
        </w:rPr>
        <w:t xml:space="preserve">can be used to build fast-to-evaluate surrogate models of spatiotemporally varying model output fields using a </w:t>
      </w:r>
      <w:r>
        <w:rPr>
          <w:rFonts w:ascii="Arial" w:eastAsia="Times New Roman" w:hAnsi="Arial" w:cs="Arial"/>
          <w:color w:val="242424"/>
          <w:bdr w:val="none" w:sz="0" w:space="0" w:color="auto" w:frame="1"/>
        </w:rPr>
        <w:t>relatively small</w:t>
      </w:r>
      <w:r w:rsidRPr="006F4F38">
        <w:rPr>
          <w:rFonts w:ascii="Arial" w:eastAsia="Times New Roman" w:hAnsi="Arial" w:cs="Arial"/>
          <w:color w:val="242424"/>
          <w:bdr w:val="none" w:sz="0" w:space="0" w:color="auto" w:frame="1"/>
        </w:rPr>
        <w:t xml:space="preserve"> number of ESM ensemble members and higher accuracy than traditional methods. </w:t>
      </w:r>
      <w:r w:rsidR="006F4F38" w:rsidRPr="006F4F38">
        <w:rPr>
          <w:rFonts w:ascii="Arial" w:eastAsia="Times New Roman" w:hAnsi="Arial" w:cs="Arial"/>
          <w:color w:val="242424"/>
          <w:bdr w:val="none" w:sz="0" w:space="0" w:color="auto" w:frame="1"/>
        </w:rPr>
        <w:t xml:space="preserve">Here we focus on uncertainty quantification of the Energy </w:t>
      </w:r>
      <w:proofErr w:type="spellStart"/>
      <w:r w:rsidR="006F4F38" w:rsidRPr="006F4F38">
        <w:rPr>
          <w:rFonts w:ascii="Arial" w:eastAsia="Times New Roman" w:hAnsi="Arial" w:cs="Arial"/>
          <w:color w:val="242424"/>
          <w:bdr w:val="none" w:sz="0" w:space="0" w:color="auto" w:frame="1"/>
        </w:rPr>
        <w:t>Exascale</w:t>
      </w:r>
      <w:proofErr w:type="spellEnd"/>
      <w:r w:rsidR="006F4F38" w:rsidRPr="006F4F38">
        <w:rPr>
          <w:rFonts w:ascii="Arial" w:eastAsia="Times New Roman" w:hAnsi="Arial" w:cs="Arial"/>
          <w:color w:val="242424"/>
          <w:bdr w:val="none" w:sz="0" w:space="0" w:color="auto" w:frame="1"/>
        </w:rPr>
        <w:t xml:space="preserve"> Earth System land model (ELM) parameters related to ecosystem processes considering uncertainty in key model parameters related to fluxes of carbon and energy, phenology and drought response. Parameter uncertainty ranges are determined from trait databases and the literature across a range of 13 naturally occurring plant functional types. A 2</w:t>
      </w:r>
      <w:r>
        <w:rPr>
          <w:rFonts w:ascii="Arial" w:eastAsia="Times New Roman" w:hAnsi="Arial" w:cs="Arial"/>
          <w:color w:val="242424"/>
          <w:bdr w:val="none" w:sz="0" w:space="0" w:color="auto" w:frame="1"/>
        </w:rPr>
        <w:t>75</w:t>
      </w:r>
      <w:r w:rsidR="006F4F38" w:rsidRPr="006F4F38">
        <w:rPr>
          <w:rFonts w:ascii="Arial" w:eastAsia="Times New Roman" w:hAnsi="Arial" w:cs="Arial"/>
          <w:color w:val="242424"/>
          <w:bdr w:val="none" w:sz="0" w:space="0" w:color="auto" w:frame="1"/>
        </w:rPr>
        <w:t xml:space="preserve">-member ensemble of </w:t>
      </w:r>
      <w:r w:rsidR="005E0B46">
        <w:rPr>
          <w:rFonts w:ascii="Arial" w:eastAsia="Times New Roman" w:hAnsi="Arial" w:cs="Arial"/>
          <w:color w:val="242424"/>
          <w:bdr w:val="none" w:sz="0" w:space="0" w:color="auto" w:frame="1"/>
        </w:rPr>
        <w:t xml:space="preserve">global </w:t>
      </w:r>
      <w:r w:rsidR="006F4F38" w:rsidRPr="006F4F38">
        <w:rPr>
          <w:rFonts w:ascii="Arial" w:eastAsia="Times New Roman" w:hAnsi="Arial" w:cs="Arial"/>
          <w:color w:val="242424"/>
          <w:bdr w:val="none" w:sz="0" w:space="0" w:color="auto" w:frame="1"/>
        </w:rPr>
        <w:t xml:space="preserve">ELM simulations is performed at 2x2 </w:t>
      </w:r>
      <w:r w:rsidR="008D1D94">
        <w:rPr>
          <w:rFonts w:ascii="Arial" w:eastAsia="Times New Roman" w:hAnsi="Arial" w:cs="Arial"/>
          <w:color w:val="242424"/>
          <w:bdr w:val="none" w:sz="0" w:space="0" w:color="auto" w:frame="1"/>
        </w:rPr>
        <w:t xml:space="preserve">degree </w:t>
      </w:r>
      <w:r w:rsidR="006F4F38" w:rsidRPr="006F4F38">
        <w:rPr>
          <w:rFonts w:ascii="Arial" w:eastAsia="Times New Roman" w:hAnsi="Arial" w:cs="Arial"/>
          <w:color w:val="242424"/>
          <w:bdr w:val="none" w:sz="0" w:space="0" w:color="auto" w:frame="1"/>
        </w:rPr>
        <w:t>spatial resolution.</w:t>
      </w:r>
      <w:r w:rsidR="008D1D94">
        <w:rPr>
          <w:rFonts w:ascii="Arial" w:eastAsia="Times New Roman" w:hAnsi="Arial" w:cs="Arial"/>
          <w:color w:val="242424"/>
          <w:bdr w:val="none" w:sz="0" w:space="0" w:color="auto" w:frame="1"/>
        </w:rPr>
        <w:t xml:space="preserve">  We then create a </w:t>
      </w:r>
      <w:r w:rsidR="005E0B46">
        <w:rPr>
          <w:rFonts w:ascii="Arial" w:eastAsia="Times New Roman" w:hAnsi="Arial" w:cs="Arial"/>
          <w:color w:val="242424"/>
          <w:bdr w:val="none" w:sz="0" w:space="0" w:color="auto" w:frame="1"/>
        </w:rPr>
        <w:t xml:space="preserve">temporally and spatially resolved </w:t>
      </w:r>
      <w:r w:rsidR="008D1D94">
        <w:rPr>
          <w:rFonts w:ascii="Arial" w:eastAsia="Times New Roman" w:hAnsi="Arial" w:cs="Arial"/>
          <w:color w:val="242424"/>
          <w:bdr w:val="none" w:sz="0" w:space="0" w:color="auto" w:frame="1"/>
        </w:rPr>
        <w:t xml:space="preserve">surrogate model of gross primary productivity using the dimension-reduction techniques described above.  </w:t>
      </w:r>
      <w:r w:rsidR="006F4F38" w:rsidRPr="006F4F38">
        <w:rPr>
          <w:rFonts w:ascii="Arial" w:eastAsia="Times New Roman" w:hAnsi="Arial" w:cs="Arial"/>
          <w:color w:val="242424"/>
          <w:bdr w:val="none" w:sz="0" w:space="0" w:color="auto" w:frame="1"/>
        </w:rPr>
        <w:t>Global sensitivity analysis</w:t>
      </w:r>
      <w:r w:rsidR="008D1D94">
        <w:rPr>
          <w:rFonts w:ascii="Arial" w:eastAsia="Times New Roman" w:hAnsi="Arial" w:cs="Arial"/>
          <w:color w:val="242424"/>
          <w:bdr w:val="none" w:sz="0" w:space="0" w:color="auto" w:frame="1"/>
        </w:rPr>
        <w:t xml:space="preserve"> performed using the surrogate model</w:t>
      </w:r>
      <w:r w:rsidR="006F4F38" w:rsidRPr="006F4F38">
        <w:rPr>
          <w:rFonts w:ascii="Arial" w:eastAsia="Times New Roman" w:hAnsi="Arial" w:cs="Arial"/>
          <w:color w:val="242424"/>
          <w:bdr w:val="none" w:sz="0" w:space="0" w:color="auto" w:frame="1"/>
        </w:rPr>
        <w:t xml:space="preserve"> indicates different parameters drive model prediction uncertainty depending on time of year and environmental conditions. In warmer and drier climates, parameters controlling stomatal conductance and rooting depth distribution are strong drivers of productivity, while in colder climates phenology and temperature sensitivity parameters are more important. We investigate how these parameter sensitivities change under </w:t>
      </w:r>
      <w:r w:rsidR="008D1D94">
        <w:rPr>
          <w:rFonts w:ascii="Arial" w:eastAsia="Times New Roman" w:hAnsi="Arial" w:cs="Arial"/>
          <w:color w:val="242424"/>
          <w:bdr w:val="none" w:sz="0" w:space="0" w:color="auto" w:frame="1"/>
        </w:rPr>
        <w:t xml:space="preserve">extreme conditions.  Finally, we perform a calibration on the surrogate model using Bayesian methods to demonstrate how ELM parameters and predictions may be improved using gridded observation datasets. </w:t>
      </w:r>
    </w:p>
    <w:p w14:paraId="638D2611" w14:textId="77777777" w:rsidR="003A56B5" w:rsidRDefault="00843E66"/>
    <w:sectPr w:rsidR="003A56B5" w:rsidSect="005B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38"/>
    <w:rsid w:val="002C005A"/>
    <w:rsid w:val="00351156"/>
    <w:rsid w:val="004155D4"/>
    <w:rsid w:val="0051506F"/>
    <w:rsid w:val="00521176"/>
    <w:rsid w:val="005B466B"/>
    <w:rsid w:val="005E0B46"/>
    <w:rsid w:val="006266D1"/>
    <w:rsid w:val="006F4F38"/>
    <w:rsid w:val="008039E7"/>
    <w:rsid w:val="00843E66"/>
    <w:rsid w:val="008C50CC"/>
    <w:rsid w:val="008D1D94"/>
    <w:rsid w:val="00C212EE"/>
    <w:rsid w:val="00C377F0"/>
    <w:rsid w:val="00D5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A94D"/>
  <w15:chartTrackingRefBased/>
  <w15:docId w15:val="{6A61CD45-356A-7E48-B457-B0371144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F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F4F38"/>
  </w:style>
  <w:style w:type="paragraph" w:styleId="BalloonText">
    <w:name w:val="Balloon Text"/>
    <w:basedOn w:val="Normal"/>
    <w:link w:val="BalloonTextChar"/>
    <w:uiPriority w:val="99"/>
    <w:semiHidden/>
    <w:unhideWhenUsed/>
    <w:rsid w:val="002C00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00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2303">
      <w:bodyDiv w:val="1"/>
      <w:marLeft w:val="0"/>
      <w:marRight w:val="0"/>
      <w:marTop w:val="0"/>
      <w:marBottom w:val="0"/>
      <w:divBdr>
        <w:top w:val="none" w:sz="0" w:space="0" w:color="auto"/>
        <w:left w:val="none" w:sz="0" w:space="0" w:color="auto"/>
        <w:bottom w:val="none" w:sz="0" w:space="0" w:color="auto"/>
        <w:right w:val="none" w:sz="0" w:space="0" w:color="auto"/>
      </w:divBdr>
      <w:divsChild>
        <w:div w:id="1582904623">
          <w:marLeft w:val="0"/>
          <w:marRight w:val="0"/>
          <w:marTop w:val="0"/>
          <w:marBottom w:val="0"/>
          <w:divBdr>
            <w:top w:val="none" w:sz="0" w:space="0" w:color="auto"/>
            <w:left w:val="none" w:sz="0" w:space="0" w:color="auto"/>
            <w:bottom w:val="none" w:sz="0" w:space="0" w:color="auto"/>
            <w:right w:val="none" w:sz="0" w:space="0" w:color="auto"/>
          </w:divBdr>
        </w:div>
        <w:div w:id="160984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73BB7-225D-4C7A-B42D-A1D6E0C0A924}"/>
</file>

<file path=customXml/itemProps2.xml><?xml version="1.0" encoding="utf-8"?>
<ds:datastoreItem xmlns:ds="http://schemas.openxmlformats.org/officeDocument/2006/customXml" ds:itemID="{FDB0150D-2775-4D1C-9666-25CE5BE7DA2B}"/>
</file>

<file path=customXml/itemProps3.xml><?xml version="1.0" encoding="utf-8"?>
<ds:datastoreItem xmlns:ds="http://schemas.openxmlformats.org/officeDocument/2006/customXml" ds:itemID="{F93211CF-05CD-46C5-9D7D-8C939726ACDF}"/>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Ricciuto</dc:creator>
  <cp:keywords/>
  <dc:description/>
  <cp:lastModifiedBy>Adkins-Ferber, Verda</cp:lastModifiedBy>
  <cp:revision>2</cp:revision>
  <dcterms:created xsi:type="dcterms:W3CDTF">2020-09-28T21:06:00Z</dcterms:created>
  <dcterms:modified xsi:type="dcterms:W3CDTF">2020-09-28T21:06:00Z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