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64" w:rsidRDefault="006B2E64" w:rsidP="006B2E64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Radiation, the fundamental energy source for all atmospheric motions, is a particularly important parameterization in an earth system model. The radiation parameterization in version 0 and 1 of the E3SM, known as RRTMG, has become increasingly dated with respect to both the scientific content and the computational practices. Its successor, RTE+RRTMGP, is the default treatment of radiation for the MMF version of the E3SM and is fully integrated </w:t>
      </w:r>
      <w:proofErr w:type="gramStart"/>
      <w:r>
        <w:rPr>
          <w:rFonts w:ascii="Helvetica" w:hAnsi="Helvetica" w:cs="Helvetica"/>
          <w:color w:val="000000"/>
        </w:rPr>
        <w:t>into  the</w:t>
      </w:r>
      <w:proofErr w:type="gramEnd"/>
      <w:r>
        <w:rPr>
          <w:rFonts w:ascii="Helvetica" w:hAnsi="Helvetica" w:cs="Helvetica"/>
          <w:color w:val="000000"/>
        </w:rPr>
        <w:t xml:space="preserve"> very high resolution Simple Cloud-Resolving E3SM Atmosphere Model and is being considered for inclusion in v2 or v3 of the E3SM. </w:t>
      </w:r>
    </w:p>
    <w:p w:rsidR="006B2E64" w:rsidRDefault="006B2E64" w:rsidP="006B2E64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B2E64" w:rsidRDefault="006B2E64" w:rsidP="006B2E64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This project will implement key improvements to the computational efficiency and capabilities of RTE+RRTMGP to ensure that the radiation code in the E3SM is efficient, accurate, and allows users to address key scientific priorities of the CESD.  As in our past DOE-funded work on RTE+RRTMGP, our development will involve extensive interactions with the E3SM computational and scientific staff and will proceed collaboratively with the E3SM team. We will focus on the following tasks:</w:t>
      </w:r>
    </w:p>
    <w:p w:rsidR="006B2E64" w:rsidRDefault="006B2E64" w:rsidP="006B2E64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 xml:space="preserve">Develop and/or collaborate on new computational kernels, including CUDA and OpenMP, to improve efficiency with existing hardware and meet new computational platforms as they are acquired or considered by DOE </w:t>
      </w: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 xml:space="preserve">Extend and maintain a C++ front end to RTE and RRTMGP suitable for use in SCREAM (Simple Cloud-Resolving E3SM Atmosphere Model), the </w:t>
      </w:r>
      <w:proofErr w:type="spellStart"/>
      <w:r w:rsidRPr="006B2E64">
        <w:rPr>
          <w:rFonts w:ascii="Helvetica" w:hAnsi="Helvetica" w:cs="Helvetica"/>
          <w:color w:val="000000"/>
        </w:rPr>
        <w:t>ultra high-resolution</w:t>
      </w:r>
      <w:proofErr w:type="spellEnd"/>
      <w:r w:rsidRPr="006B2E64">
        <w:rPr>
          <w:rFonts w:ascii="Helvetica" w:hAnsi="Helvetica" w:cs="Helvetica"/>
          <w:color w:val="000000"/>
        </w:rPr>
        <w:t xml:space="preserve"> version of E3SM</w:t>
      </w: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>D</w:t>
      </w:r>
      <w:r>
        <w:rPr>
          <w:rFonts w:ascii="Helvetica" w:hAnsi="Helvetica" w:cs="Helvetica"/>
          <w:color w:val="000000"/>
        </w:rPr>
        <w:t>e</w:t>
      </w:r>
      <w:r w:rsidRPr="006B2E64">
        <w:rPr>
          <w:rFonts w:ascii="Helvetica" w:hAnsi="Helvetica" w:cs="Helvetica"/>
          <w:color w:val="000000"/>
        </w:rPr>
        <w:t xml:space="preserve">velop alternative sets of spectral data with varying spectral detail and sensitivity so that users of E3SM can balance computational cost against application-specific needs </w:t>
      </w: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>Enhance the accuracy of RTE+RRTMGP by</w:t>
      </w:r>
    </w:p>
    <w:p w:rsidR="006B2E64" w:rsidRPr="006B2E64" w:rsidRDefault="006B2E64" w:rsidP="006B2E64">
      <w:pPr>
        <w:pStyle w:val="ListParagraph"/>
        <w:numPr>
          <w:ilvl w:val="0"/>
          <w:numId w:val="2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 xml:space="preserve">treating the first-order effects of a spherical atmosphere, including refraction and extended path lengths, in calculations of the direct solar beam </w:t>
      </w:r>
    </w:p>
    <w:p w:rsidR="006B2E64" w:rsidRPr="006B2E64" w:rsidRDefault="006B2E64" w:rsidP="006B2E64">
      <w:pPr>
        <w:pStyle w:val="ListParagraph"/>
        <w:numPr>
          <w:ilvl w:val="0"/>
          <w:numId w:val="2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>accounting for correlations  between gases and clouds  in the spectral dependence of scattering and absorption</w:t>
      </w: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>Investigate alternative spectral band structures for RRTMGP to better represent radiation within vegetation canopies and the ocean</w:t>
      </w:r>
    </w:p>
    <w:p w:rsidR="006B2E64" w:rsidRPr="006B2E64" w:rsidRDefault="006B2E64" w:rsidP="006B2E64">
      <w:pPr>
        <w:pStyle w:val="ListParagraph"/>
        <w:numPr>
          <w:ilvl w:val="0"/>
          <w:numId w:val="1"/>
        </w:num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B2E64">
        <w:rPr>
          <w:rFonts w:ascii="Helvetica" w:hAnsi="Helvetica" w:cs="Helvetica"/>
          <w:color w:val="000000"/>
        </w:rPr>
        <w:t>Potentially regenerate gas absorption data used by RRTMGP to be consistent with updated spectroscopic knowledge.</w:t>
      </w:r>
    </w:p>
    <w:p w:rsidR="00A4008C" w:rsidRDefault="00A4008C"/>
    <w:sectPr w:rsidR="00A4008C" w:rsidSect="005854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76"/>
    <w:multiLevelType w:val="hybridMultilevel"/>
    <w:tmpl w:val="1AB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3330"/>
    <w:multiLevelType w:val="hybridMultilevel"/>
    <w:tmpl w:val="0226C914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4"/>
    <w:rsid w:val="006209F7"/>
    <w:rsid w:val="006B2E64"/>
    <w:rsid w:val="00797867"/>
    <w:rsid w:val="00A4008C"/>
    <w:rsid w:val="00A76A2E"/>
    <w:rsid w:val="00C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6AFD-D348-024B-A19B-1FDF7E9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7BD81-6209-452F-A76F-F92C3E0B0E57}"/>
</file>

<file path=customXml/itemProps2.xml><?xml version="1.0" encoding="utf-8"?>
<ds:datastoreItem xmlns:ds="http://schemas.openxmlformats.org/officeDocument/2006/customXml" ds:itemID="{F5E32A60-0E2D-4642-B8EA-69FD90059968}"/>
</file>

<file path=customXml/itemProps3.xml><?xml version="1.0" encoding="utf-8"?>
<ds:datastoreItem xmlns:ds="http://schemas.openxmlformats.org/officeDocument/2006/customXml" ds:itemID="{30C22549-3ED3-46E5-B150-DD2F1329D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Pincus</dc:creator>
  <cp:keywords/>
  <dc:description/>
  <cp:lastModifiedBy>Adkins-Ferber, Verda</cp:lastModifiedBy>
  <cp:revision>2</cp:revision>
  <dcterms:created xsi:type="dcterms:W3CDTF">2020-09-28T21:12:00Z</dcterms:created>
  <dcterms:modified xsi:type="dcterms:W3CDTF">2020-09-28T21:12:00Z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