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E6" w:rsidRPr="00E215F0" w:rsidRDefault="00E215F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215F0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High-order, property-preserving physics-dynamics-grid remap in E3SM</w:t>
      </w:r>
      <w:r w:rsidRPr="00E215F0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E215F0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E215F0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In the E3SM Atmosphere Model (EAM) version 1, physics parameterizations are the dominant computational cost. In EAM version 1, a physics and chemistry parameterization column is assigned to each HOMME spectral element (SE) dynamical core's (dycore) Gauss-Lobatto-Legendre (GLL) grid point. But the dycore's effective resolution permits a coarser physics grid than the GLL grid. A coarser physics grid means there is less computational work and data volume for a given dynamics grid resolution. EAM version 2 uses separate dynamics and physics grids. The physics grid is formed by subdividing each spectral element into four squares. This configuration results in 4/9 as many parameterization columns as in EAMv1. To enable this configuration, we developed a high-order, property-preserving remap algorithm to remap data between grids. This talk will describe our remap method and show accuracy and performance results.</w:t>
      </w:r>
    </w:p>
    <w:sectPr w:rsidR="00F720E6" w:rsidRPr="00E2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F0"/>
    <w:rsid w:val="000013F9"/>
    <w:rsid w:val="00E215F0"/>
    <w:rsid w:val="00F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9A9B21-404A-C84C-87A1-3B67252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A0A72-0AF5-4828-9CE2-EC21C453DCCE}"/>
</file>

<file path=customXml/itemProps2.xml><?xml version="1.0" encoding="utf-8"?>
<ds:datastoreItem xmlns:ds="http://schemas.openxmlformats.org/officeDocument/2006/customXml" ds:itemID="{37D0157D-216B-40D3-BDA3-ED741F9DB4E4}"/>
</file>

<file path=customXml/itemProps3.xml><?xml version="1.0" encoding="utf-8"?>
<ds:datastoreItem xmlns:ds="http://schemas.openxmlformats.org/officeDocument/2006/customXml" ds:itemID="{67F01CD5-2952-4161-A8E1-A0496BD41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Andrew Michael</dc:creator>
  <cp:keywords/>
  <dc:description/>
  <cp:lastModifiedBy>Adkins-Ferber, Verda</cp:lastModifiedBy>
  <cp:revision>2</cp:revision>
  <dcterms:created xsi:type="dcterms:W3CDTF">2020-09-30T19:47:00Z</dcterms:created>
  <dcterms:modified xsi:type="dcterms:W3CDTF">2020-09-30T19:47:00Z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