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00" w:rsidRDefault="0064673B">
      <w:pPr>
        <w:rPr>
          <w:rFonts w:ascii="Times" w:hAnsi="Times"/>
        </w:rPr>
      </w:pPr>
      <w:bookmarkStart w:id="0" w:name="_GoBack"/>
      <w:bookmarkEnd w:id="0"/>
      <w:r w:rsidRPr="00FB011A">
        <w:rPr>
          <w:rFonts w:ascii="Times" w:hAnsi="Times"/>
        </w:rPr>
        <w:t>Quantifying the response of anvil cloud fraction to sea surface warming in SCREAM-RCE</w:t>
      </w:r>
    </w:p>
    <w:p w:rsidR="00E87486" w:rsidRDefault="00E87486">
      <w:pPr>
        <w:rPr>
          <w:rFonts w:ascii="Times" w:hAnsi="Times"/>
        </w:rPr>
      </w:pPr>
    </w:p>
    <w:p w:rsidR="00E87486" w:rsidRPr="00E87486" w:rsidRDefault="00E87486">
      <w:pPr>
        <w:rPr>
          <w:rFonts w:ascii="Times" w:hAnsi="Times"/>
          <w:vertAlign w:val="superscript"/>
        </w:rPr>
      </w:pPr>
      <w:r>
        <w:rPr>
          <w:rFonts w:ascii="Times" w:hAnsi="Times"/>
        </w:rPr>
        <w:t>Hassan Beydoun</w:t>
      </w:r>
      <w:r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, Peter Caldwell</w:t>
      </w:r>
      <w:r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, Walter Hannah</w:t>
      </w:r>
      <w:r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, and Aaron Donahue</w:t>
      </w:r>
      <w:r>
        <w:rPr>
          <w:rFonts w:ascii="Times" w:hAnsi="Times"/>
          <w:vertAlign w:val="superscript"/>
        </w:rPr>
        <w:t>1</w:t>
      </w:r>
    </w:p>
    <w:p w:rsidR="0064673B" w:rsidRDefault="0064673B">
      <w:pPr>
        <w:rPr>
          <w:rFonts w:ascii="Times" w:hAnsi="Times"/>
        </w:rPr>
      </w:pPr>
    </w:p>
    <w:p w:rsidR="00E87486" w:rsidRPr="00E87486" w:rsidRDefault="00E87486">
      <w:pPr>
        <w:rPr>
          <w:rFonts w:ascii="Times" w:hAnsi="Times"/>
        </w:rPr>
      </w:pPr>
      <w:r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Lawrence Livermore National Laboratory, Livermore, CA</w:t>
      </w:r>
    </w:p>
    <w:p w:rsidR="00E87486" w:rsidRPr="00E87486" w:rsidRDefault="00E87486">
      <w:pPr>
        <w:rPr>
          <w:rFonts w:ascii="Times" w:hAnsi="Times"/>
        </w:rPr>
      </w:pPr>
    </w:p>
    <w:p w:rsidR="0064673B" w:rsidRPr="00FB011A" w:rsidRDefault="0064673B">
      <w:pPr>
        <w:rPr>
          <w:rFonts w:ascii="Times" w:eastAsia="Times New Roman" w:hAnsi="Times" w:cs="Times New Roman"/>
        </w:rPr>
      </w:pPr>
      <w:r w:rsidRPr="00FB011A">
        <w:rPr>
          <w:rFonts w:ascii="Times" w:hAnsi="Times"/>
        </w:rPr>
        <w:t>The Simple</w:t>
      </w:r>
      <w:r w:rsidR="00C8414C">
        <w:rPr>
          <w:rFonts w:ascii="Times" w:hAnsi="Times"/>
        </w:rPr>
        <w:t xml:space="preserve"> </w:t>
      </w:r>
      <w:r w:rsidRPr="00FB011A">
        <w:rPr>
          <w:rFonts w:ascii="Times" w:hAnsi="Times"/>
        </w:rPr>
        <w:t>Cloud</w:t>
      </w:r>
      <w:r w:rsidR="00FB011A">
        <w:rPr>
          <w:rFonts w:ascii="Times" w:hAnsi="Times"/>
        </w:rPr>
        <w:t>-</w:t>
      </w:r>
      <w:r w:rsidRPr="00FB011A">
        <w:rPr>
          <w:rFonts w:ascii="Times" w:hAnsi="Times"/>
        </w:rPr>
        <w:t>Resolving</w:t>
      </w:r>
      <w:r w:rsidR="00C8414C">
        <w:rPr>
          <w:rFonts w:ascii="Times" w:hAnsi="Times"/>
        </w:rPr>
        <w:t xml:space="preserve"> </w:t>
      </w:r>
      <w:r w:rsidRPr="00FB011A">
        <w:rPr>
          <w:rFonts w:ascii="Times" w:hAnsi="Times"/>
        </w:rPr>
        <w:t>Atmosphere</w:t>
      </w:r>
      <w:r w:rsidR="00C8414C">
        <w:rPr>
          <w:rFonts w:ascii="Times" w:hAnsi="Times"/>
        </w:rPr>
        <w:t xml:space="preserve"> </w:t>
      </w:r>
      <w:r w:rsidRPr="00FB011A">
        <w:rPr>
          <w:rFonts w:ascii="Times" w:hAnsi="Times"/>
        </w:rPr>
        <w:t>Model (SCREAM) is run in a small planet radiative-convective equilibrium</w:t>
      </w:r>
      <w:r w:rsidR="00E87486">
        <w:rPr>
          <w:rFonts w:ascii="Times" w:hAnsi="Times"/>
        </w:rPr>
        <w:t xml:space="preserve"> (RCE)</w:t>
      </w:r>
      <w:r w:rsidRPr="00FB011A">
        <w:rPr>
          <w:rFonts w:ascii="Times" w:hAnsi="Times"/>
        </w:rPr>
        <w:t xml:space="preserve"> configuration to elucidate the physical mechanisms controlling </w:t>
      </w:r>
      <w:r w:rsidR="00D05BBB">
        <w:rPr>
          <w:rFonts w:ascii="Times" w:hAnsi="Times"/>
        </w:rPr>
        <w:t>domain mean anvil</w:t>
      </w:r>
      <w:r w:rsidRPr="00FB011A">
        <w:rPr>
          <w:rFonts w:ascii="Times" w:hAnsi="Times"/>
        </w:rPr>
        <w:t xml:space="preserve"> cloud fraction and simultaneously scrutinize </w:t>
      </w:r>
      <w:r w:rsidR="00D2435E">
        <w:rPr>
          <w:rFonts w:ascii="Times" w:hAnsi="Times"/>
        </w:rPr>
        <w:t xml:space="preserve">physical </w:t>
      </w:r>
      <w:r w:rsidRPr="00FB011A">
        <w:rPr>
          <w:rFonts w:ascii="Times" w:hAnsi="Times"/>
        </w:rPr>
        <w:t xml:space="preserve">soundness of the </w:t>
      </w:r>
      <w:r w:rsidR="00D2435E">
        <w:rPr>
          <w:rFonts w:ascii="Times" w:hAnsi="Times"/>
        </w:rPr>
        <w:t>new</w:t>
      </w:r>
      <w:r w:rsidRPr="00FB011A">
        <w:rPr>
          <w:rFonts w:ascii="Times" w:hAnsi="Times"/>
        </w:rPr>
        <w:t xml:space="preserve"> </w:t>
      </w:r>
      <w:r w:rsidR="00D2435E">
        <w:rPr>
          <w:rFonts w:ascii="Times" w:hAnsi="Times"/>
        </w:rPr>
        <w:t>model</w:t>
      </w:r>
      <w:r w:rsidRPr="00FB011A">
        <w:rPr>
          <w:rFonts w:ascii="Times" w:hAnsi="Times"/>
        </w:rPr>
        <w:t>. SCREAM-RCE exhibits near fixed anvil temperature (FAT)</w:t>
      </w:r>
      <w:r w:rsidR="00FB011A" w:rsidRPr="00FB011A">
        <w:rPr>
          <w:rFonts w:ascii="Times" w:hAnsi="Times"/>
        </w:rPr>
        <w:t xml:space="preserve"> </w:t>
      </w:r>
      <w:r w:rsidR="00FB011A" w:rsidRPr="00FB011A">
        <w:rPr>
          <w:rFonts w:ascii="Times" w:eastAsia="Times New Roman" w:hAnsi="Times" w:cs="Arial"/>
          <w:color w:val="000000"/>
          <w:shd w:val="clear" w:color="auto" w:fill="FFFFFF"/>
        </w:rPr>
        <w:t>(Hartmann and Larson, 2002)</w:t>
      </w:r>
      <w:r w:rsidR="00FB011A">
        <w:rPr>
          <w:rFonts w:ascii="Times" w:eastAsia="Times New Roman" w:hAnsi="Times" w:cs="Times New Roman"/>
        </w:rPr>
        <w:t xml:space="preserve"> </w:t>
      </w:r>
      <w:r w:rsidRPr="00FB011A">
        <w:rPr>
          <w:rFonts w:ascii="Times" w:hAnsi="Times"/>
        </w:rPr>
        <w:t xml:space="preserve">and </w:t>
      </w:r>
      <w:r w:rsidR="006D22BD">
        <w:rPr>
          <w:rFonts w:ascii="Times" w:hAnsi="Times"/>
        </w:rPr>
        <w:t>I</w:t>
      </w:r>
      <w:r w:rsidRPr="00FB011A">
        <w:rPr>
          <w:rFonts w:ascii="Times" w:hAnsi="Times"/>
        </w:rPr>
        <w:t>ris</w:t>
      </w:r>
      <w:r w:rsidR="00FB011A" w:rsidRPr="00FB011A">
        <w:rPr>
          <w:rFonts w:ascii="Times" w:hAnsi="Times"/>
        </w:rPr>
        <w:t xml:space="preserve"> (Bon</w:t>
      </w:r>
      <w:r w:rsidR="006D22BD">
        <w:rPr>
          <w:rFonts w:ascii="Times" w:hAnsi="Times"/>
        </w:rPr>
        <w:t>y</w:t>
      </w:r>
      <w:r w:rsidR="00FB011A" w:rsidRPr="00FB011A">
        <w:rPr>
          <w:rFonts w:ascii="Times" w:hAnsi="Times"/>
        </w:rPr>
        <w:t xml:space="preserve"> et al., 2016)</w:t>
      </w:r>
      <w:r w:rsidRPr="00FB011A">
        <w:rPr>
          <w:rFonts w:ascii="Times" w:hAnsi="Times"/>
        </w:rPr>
        <w:t xml:space="preserve"> responses to warming in keeping with a majority of cloud resolving models run in RCE (</w:t>
      </w:r>
      <w:r w:rsidR="00FB011A" w:rsidRPr="00FB011A">
        <w:rPr>
          <w:rFonts w:ascii="Times" w:hAnsi="Times"/>
        </w:rPr>
        <w:t>Wing et al., 2020</w:t>
      </w:r>
      <w:r w:rsidRPr="00FB011A">
        <w:rPr>
          <w:rFonts w:ascii="Times" w:hAnsi="Times"/>
        </w:rPr>
        <w:t xml:space="preserve">). </w:t>
      </w:r>
      <w:r w:rsidR="002316D9" w:rsidRPr="00FB011A">
        <w:rPr>
          <w:rFonts w:ascii="Times" w:hAnsi="Times"/>
        </w:rPr>
        <w:t xml:space="preserve">A moisture budget analysis in and around deep convective cores reveals that the observed response of </w:t>
      </w:r>
      <w:r w:rsidR="00D05BBB">
        <w:rPr>
          <w:rFonts w:ascii="Times" w:hAnsi="Times"/>
        </w:rPr>
        <w:t>anvil</w:t>
      </w:r>
      <w:r w:rsidR="002316D9" w:rsidRPr="00FB011A">
        <w:rPr>
          <w:rFonts w:ascii="Times" w:hAnsi="Times"/>
        </w:rPr>
        <w:t xml:space="preserve"> fraction to warming is due to a reduction in upper-level large scale divergence characteristic of the stabler moist adiabat </w:t>
      </w:r>
      <w:r w:rsidR="006414F0">
        <w:rPr>
          <w:rFonts w:ascii="Times" w:hAnsi="Times"/>
        </w:rPr>
        <w:t>imposed</w:t>
      </w:r>
      <w:r w:rsidR="002316D9" w:rsidRPr="00FB011A">
        <w:rPr>
          <w:rFonts w:ascii="Times" w:hAnsi="Times"/>
        </w:rPr>
        <w:t xml:space="preserve"> by warmer deep convection (Bony et al., 2016). Interestingly, we find that the physical mechanism behind the coupling of divergence and cloud fraction is convective outflow moistening the anvil layers </w:t>
      </w:r>
      <w:r w:rsidR="001D7F9A" w:rsidRPr="00FB011A">
        <w:rPr>
          <w:rFonts w:ascii="Times" w:hAnsi="Times"/>
        </w:rPr>
        <w:t>which permits</w:t>
      </w:r>
      <w:r w:rsidR="002316D9" w:rsidRPr="00FB011A">
        <w:rPr>
          <w:rFonts w:ascii="Times" w:hAnsi="Times"/>
        </w:rPr>
        <w:t xml:space="preserve"> in situ ice formation </w:t>
      </w:r>
      <w:r w:rsidR="00A11295">
        <w:rPr>
          <w:rFonts w:ascii="Times" w:hAnsi="Times"/>
        </w:rPr>
        <w:t>rather than</w:t>
      </w:r>
      <w:r w:rsidR="002316D9" w:rsidRPr="00FB011A">
        <w:rPr>
          <w:rFonts w:ascii="Times" w:hAnsi="Times"/>
        </w:rPr>
        <w:t xml:space="preserve"> direct detrainment of ice particles from the convective core. We </w:t>
      </w:r>
      <w:r w:rsidR="00984C48">
        <w:rPr>
          <w:rFonts w:ascii="Times" w:hAnsi="Times"/>
        </w:rPr>
        <w:t>interpret</w:t>
      </w:r>
      <w:r w:rsidR="002316D9" w:rsidRPr="00FB011A">
        <w:rPr>
          <w:rFonts w:ascii="Times" w:hAnsi="Times"/>
        </w:rPr>
        <w:t xml:space="preserve"> our results with a simple anvil length scale model </w:t>
      </w:r>
      <w:r w:rsidR="001D7F9A" w:rsidRPr="00FB011A">
        <w:rPr>
          <w:rFonts w:ascii="Times" w:hAnsi="Times"/>
        </w:rPr>
        <w:t>which</w:t>
      </w:r>
      <w:r w:rsidR="002316D9" w:rsidRPr="00FB011A">
        <w:rPr>
          <w:rFonts w:ascii="Times" w:hAnsi="Times"/>
        </w:rPr>
        <w:t xml:space="preserve"> </w:t>
      </w:r>
      <w:r w:rsidR="00FB011A">
        <w:rPr>
          <w:rFonts w:ascii="Times" w:hAnsi="Times"/>
        </w:rPr>
        <w:t>argues</w:t>
      </w:r>
      <w:r w:rsidR="002316D9" w:rsidRPr="00FB011A">
        <w:rPr>
          <w:rFonts w:ascii="Times" w:hAnsi="Times"/>
        </w:rPr>
        <w:t xml:space="preserve"> that cloud fraction </w:t>
      </w:r>
      <w:r w:rsidR="006414F0">
        <w:rPr>
          <w:rFonts w:ascii="Times" w:hAnsi="Times"/>
        </w:rPr>
        <w:t>scales with</w:t>
      </w:r>
      <w:r w:rsidR="001D7F9A" w:rsidRPr="00FB011A">
        <w:rPr>
          <w:rFonts w:ascii="Times" w:hAnsi="Times"/>
        </w:rPr>
        <w:t xml:space="preserve"> the </w:t>
      </w:r>
      <w:r w:rsidR="006D22BD">
        <w:rPr>
          <w:rFonts w:ascii="Times" w:hAnsi="Times"/>
        </w:rPr>
        <w:t>drying</w:t>
      </w:r>
      <w:r w:rsidR="001D7F9A" w:rsidRPr="00FB011A">
        <w:rPr>
          <w:rFonts w:ascii="Times" w:hAnsi="Times"/>
        </w:rPr>
        <w:t xml:space="preserve"> timescale of detraining </w:t>
      </w:r>
      <w:r w:rsidR="006D22BD">
        <w:rPr>
          <w:rFonts w:ascii="Times" w:hAnsi="Times"/>
        </w:rPr>
        <w:t>cloudy</w:t>
      </w:r>
      <w:r w:rsidR="001D7F9A" w:rsidRPr="00FB011A">
        <w:rPr>
          <w:rFonts w:ascii="Times" w:hAnsi="Times"/>
        </w:rPr>
        <w:t xml:space="preserve"> air</w:t>
      </w:r>
      <w:r w:rsidR="00380AE3" w:rsidRPr="00FB011A">
        <w:rPr>
          <w:rFonts w:ascii="Times" w:hAnsi="Times"/>
        </w:rPr>
        <w:t>.</w:t>
      </w:r>
    </w:p>
    <w:p w:rsidR="00FB011A" w:rsidRDefault="00FB011A"/>
    <w:p w:rsidR="00FB011A" w:rsidRPr="00FB011A" w:rsidRDefault="00FB011A">
      <w:pPr>
        <w:rPr>
          <w:rFonts w:ascii="Times" w:hAnsi="Times"/>
        </w:rPr>
      </w:pPr>
      <w:r w:rsidRPr="00FB011A">
        <w:rPr>
          <w:rFonts w:ascii="Times" w:hAnsi="Times"/>
        </w:rPr>
        <w:t>References</w:t>
      </w:r>
    </w:p>
    <w:p w:rsidR="00FB011A" w:rsidRPr="00FB011A" w:rsidRDefault="00FB011A" w:rsidP="00FB011A">
      <w:pPr>
        <w:pStyle w:val="NormalWeb"/>
        <w:rPr>
          <w:rFonts w:ascii="Times" w:hAnsi="Times"/>
          <w:sz w:val="20"/>
          <w:szCs w:val="20"/>
        </w:rPr>
      </w:pPr>
      <w:r w:rsidRPr="00FB011A">
        <w:rPr>
          <w:rFonts w:ascii="Times" w:hAnsi="Times"/>
          <w:sz w:val="20"/>
          <w:szCs w:val="20"/>
        </w:rPr>
        <w:t xml:space="preserve">Bony, S., et al. (2016). PNAS. </w:t>
      </w:r>
      <w:proofErr w:type="spellStart"/>
      <w:r w:rsidRPr="00FB011A">
        <w:rPr>
          <w:rFonts w:ascii="Times" w:hAnsi="Times"/>
          <w:sz w:val="20"/>
          <w:szCs w:val="20"/>
        </w:rPr>
        <w:t>doi</w:t>
      </w:r>
      <w:proofErr w:type="spellEnd"/>
      <w:r w:rsidRPr="00FB011A">
        <w:rPr>
          <w:rFonts w:ascii="Times" w:hAnsi="Times"/>
          <w:sz w:val="20"/>
          <w:szCs w:val="20"/>
        </w:rPr>
        <w:t>: 10.1073/pnas.1601472113</w:t>
      </w:r>
    </w:p>
    <w:p w:rsidR="00FB011A" w:rsidRPr="00FB011A" w:rsidRDefault="00FB011A" w:rsidP="00FB011A">
      <w:pPr>
        <w:spacing w:before="100" w:beforeAutospacing="1" w:after="100" w:afterAutospacing="1"/>
        <w:rPr>
          <w:rFonts w:ascii="Times" w:eastAsia="Times New Roman" w:hAnsi="Times" w:cs="Arial"/>
          <w:sz w:val="20"/>
          <w:szCs w:val="20"/>
        </w:rPr>
      </w:pPr>
      <w:r w:rsidRPr="00FB011A">
        <w:rPr>
          <w:rFonts w:ascii="Times" w:eastAsia="Times New Roman" w:hAnsi="Times" w:cs="Arial"/>
          <w:sz w:val="20"/>
          <w:szCs w:val="20"/>
        </w:rPr>
        <w:t xml:space="preserve">Hartmann, D. L., and Larson, K. (2002). GRL. </w:t>
      </w:r>
      <w:proofErr w:type="spellStart"/>
      <w:r w:rsidRPr="00FB011A">
        <w:rPr>
          <w:rFonts w:ascii="Times" w:eastAsia="Times New Roman" w:hAnsi="Times" w:cs="Arial"/>
          <w:sz w:val="20"/>
          <w:szCs w:val="20"/>
        </w:rPr>
        <w:t>doi</w:t>
      </w:r>
      <w:proofErr w:type="spellEnd"/>
      <w:r w:rsidRPr="00FB011A">
        <w:rPr>
          <w:rFonts w:ascii="Times" w:eastAsia="Times New Roman" w:hAnsi="Times" w:cs="Arial"/>
          <w:sz w:val="20"/>
          <w:szCs w:val="20"/>
        </w:rPr>
        <w:t>: 10.1029/2002GL015835</w:t>
      </w:r>
    </w:p>
    <w:p w:rsidR="00FB011A" w:rsidRPr="00FB011A" w:rsidRDefault="00FB011A" w:rsidP="00FB011A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FB011A">
        <w:rPr>
          <w:rFonts w:ascii="Times" w:eastAsia="Times New Roman" w:hAnsi="Times" w:cs="Times New Roman"/>
          <w:sz w:val="20"/>
          <w:szCs w:val="20"/>
        </w:rPr>
        <w:t xml:space="preserve">Wing et al. (2020). JAMES. </w:t>
      </w:r>
      <w:proofErr w:type="spellStart"/>
      <w:proofErr w:type="gramStart"/>
      <w:r w:rsidRPr="00FB011A">
        <w:rPr>
          <w:rFonts w:ascii="Times" w:eastAsia="Times New Roman" w:hAnsi="Times" w:cs="Times New Roman"/>
          <w:sz w:val="20"/>
          <w:szCs w:val="20"/>
        </w:rPr>
        <w:t>doi</w:t>
      </w:r>
      <w:proofErr w:type="spellEnd"/>
      <w:r w:rsidRPr="00FB011A">
        <w:rPr>
          <w:rFonts w:ascii="Times" w:eastAsia="Times New Roman" w:hAnsi="Times" w:cs="Times New Roman"/>
          <w:sz w:val="20"/>
          <w:szCs w:val="20"/>
        </w:rPr>
        <w:t xml:space="preserve"> :</w:t>
      </w:r>
      <w:proofErr w:type="gramEnd"/>
      <w:r w:rsidRPr="00FB011A">
        <w:rPr>
          <w:rFonts w:ascii="Times" w:hAnsi="Times"/>
          <w:sz w:val="20"/>
          <w:szCs w:val="20"/>
        </w:rPr>
        <w:t xml:space="preserve"> </w:t>
      </w:r>
      <w:hyperlink r:id="rId4" w:history="1">
        <w:r w:rsidRPr="00FB011A">
          <w:rPr>
            <w:rFonts w:ascii="Times" w:eastAsia="Times New Roman" w:hAnsi="Times" w:cs="Arial"/>
            <w:color w:val="000000" w:themeColor="text1"/>
            <w:sz w:val="20"/>
            <w:szCs w:val="20"/>
          </w:rPr>
          <w:t>10.1029/2020MS002138</w:t>
        </w:r>
      </w:hyperlink>
    </w:p>
    <w:p w:rsidR="00FB011A" w:rsidRDefault="00FB011A"/>
    <w:p w:rsidR="008954E9" w:rsidRPr="008954E9" w:rsidRDefault="00D44BD5" w:rsidP="008954E9">
      <w:pPr>
        <w:rPr>
          <w:rFonts w:ascii="Times" w:eastAsia="Times New Roman" w:hAnsi="Times" w:cs="Times New Roman"/>
        </w:rPr>
      </w:pPr>
      <w:r w:rsidRPr="008954E9">
        <w:rPr>
          <w:rFonts w:ascii="Times" w:hAnsi="Times"/>
        </w:rPr>
        <w:t xml:space="preserve">This work was performed under the auspices of the US DOE by Lawrence Livermore National Laboratory under contract No. DE-AC52-07NA27344 </w:t>
      </w:r>
      <w:r w:rsidR="00201FF2" w:rsidRPr="008954E9">
        <w:rPr>
          <w:rFonts w:ascii="Times" w:hAnsi="Times"/>
        </w:rPr>
        <w:t xml:space="preserve">IM </w:t>
      </w:r>
      <w:r w:rsidR="001A7A09" w:rsidRPr="008954E9">
        <w:rPr>
          <w:rFonts w:ascii="Times" w:hAnsi="Times"/>
        </w:rPr>
        <w:t>R</w:t>
      </w:r>
      <w:r w:rsidR="00201FF2" w:rsidRPr="008954E9">
        <w:rPr>
          <w:rFonts w:ascii="Times" w:hAnsi="Times"/>
        </w:rPr>
        <w:t xml:space="preserve">elease </w:t>
      </w:r>
      <w:r w:rsidR="001A7A09" w:rsidRPr="008954E9">
        <w:rPr>
          <w:rFonts w:ascii="Times" w:hAnsi="Times"/>
        </w:rPr>
        <w:t>N</w:t>
      </w:r>
      <w:r w:rsidR="00201FF2" w:rsidRPr="008954E9">
        <w:rPr>
          <w:rFonts w:ascii="Times" w:hAnsi="Times"/>
        </w:rPr>
        <w:t xml:space="preserve">umber </w:t>
      </w:r>
      <w:r w:rsidR="008954E9" w:rsidRPr="008954E9">
        <w:rPr>
          <w:rFonts w:ascii="Times" w:eastAsia="Times New Roman" w:hAnsi="Times" w:cs="Times New Roman"/>
          <w:color w:val="000000"/>
        </w:rPr>
        <w:t>LLNL-ABS-804065</w:t>
      </w:r>
    </w:p>
    <w:p w:rsidR="00D44BD5" w:rsidRDefault="00D44BD5" w:rsidP="008954E9"/>
    <w:p w:rsidR="00D44BD5" w:rsidRDefault="00D44BD5"/>
    <w:sectPr w:rsidR="00D44BD5" w:rsidSect="000A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3B"/>
    <w:rsid w:val="000A2D3D"/>
    <w:rsid w:val="001A7A09"/>
    <w:rsid w:val="001D7F9A"/>
    <w:rsid w:val="00201FF2"/>
    <w:rsid w:val="002316D9"/>
    <w:rsid w:val="00380AE3"/>
    <w:rsid w:val="006414F0"/>
    <w:rsid w:val="0064673B"/>
    <w:rsid w:val="006D22BD"/>
    <w:rsid w:val="00733789"/>
    <w:rsid w:val="008954E9"/>
    <w:rsid w:val="00984C48"/>
    <w:rsid w:val="00A11295"/>
    <w:rsid w:val="00C8414C"/>
    <w:rsid w:val="00CA60ED"/>
    <w:rsid w:val="00D05BBB"/>
    <w:rsid w:val="00D2435E"/>
    <w:rsid w:val="00D430F0"/>
    <w:rsid w:val="00D44BD5"/>
    <w:rsid w:val="00E87486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70518-7353-734E-A96C-2CCDEC6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01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29/2020MS00213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AD4FA-E101-4344-BC8A-BD5EC5B3A131}"/>
</file>

<file path=customXml/itemProps2.xml><?xml version="1.0" encoding="utf-8"?>
<ds:datastoreItem xmlns:ds="http://schemas.openxmlformats.org/officeDocument/2006/customXml" ds:itemID="{1AA697D5-47FB-45FE-A5ED-D3883564203F}"/>
</file>

<file path=customXml/itemProps3.xml><?xml version="1.0" encoding="utf-8"?>
<ds:datastoreItem xmlns:ds="http://schemas.openxmlformats.org/officeDocument/2006/customXml" ds:itemID="{5C319C3F-6F09-44AE-87F8-2AA0CED90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Beydoun, Hassan</dc:creator>
  <cp:keywords/>
  <dc:description/>
  <cp:lastModifiedBy>Adkins-Ferber, Verda</cp:lastModifiedBy>
  <cp:revision>2</cp:revision>
  <cp:lastPrinted>2020-09-28T17:53:00Z</cp:lastPrinted>
  <dcterms:created xsi:type="dcterms:W3CDTF">2020-09-28T21:46:00Z</dcterms:created>
  <dcterms:modified xsi:type="dcterms:W3CDTF">2020-09-28T21:46:00Z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