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D19D5" w14:textId="3DA42764" w:rsidR="0038423D" w:rsidRDefault="0038423D" w:rsidP="0038423D">
      <w:bookmarkStart w:id="0" w:name="_GoBack"/>
      <w:bookmarkEnd w:id="0"/>
      <w:r>
        <w:t>Historical carbon cycle simulations in E3SMv1.1-BGC</w:t>
      </w:r>
    </w:p>
    <w:p w14:paraId="3A38BDF8" w14:textId="79467396" w:rsidR="00995ED2" w:rsidRDefault="00995ED2" w:rsidP="0038423D"/>
    <w:p w14:paraId="42492F06" w14:textId="731B3A5A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S. M. Burrows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M. Maltrud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X. Yang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20"/>
          <w:szCs w:val="20"/>
        </w:rPr>
        <w:t>, Q. Zhu</w:t>
      </w:r>
      <w:r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  <w:sz w:val="20"/>
          <w:szCs w:val="20"/>
        </w:rPr>
        <w:t>, N. Je</w:t>
      </w:r>
      <w:r w:rsidR="00463614">
        <w:rPr>
          <w:rFonts w:ascii="Times New Roman" w:hAnsi="Times New Roman" w:cs="Times New Roman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ery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X. Shi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CF61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D. Ricciuto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20"/>
          <w:szCs w:val="20"/>
        </w:rPr>
        <w:t>, S. Wang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G. Bisht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J. Tang</w:t>
      </w:r>
      <w:r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  <w:sz w:val="20"/>
          <w:szCs w:val="20"/>
        </w:rPr>
        <w:t>, J. Wolfe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B. E. Harrop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</w:t>
      </w:r>
      <w:r w:rsidR="00CF61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B. Singh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L. Brent</w:t>
      </w:r>
      <w:r>
        <w:rPr>
          <w:rFonts w:ascii="Times New Roman" w:hAnsi="Times New Roman" w:cs="Times New Roman"/>
          <w:sz w:val="14"/>
          <w:szCs w:val="14"/>
        </w:rPr>
        <w:t>1_</w:t>
      </w:r>
      <w:r>
        <w:rPr>
          <w:rFonts w:ascii="Times New Roman" w:hAnsi="Times New Roman" w:cs="Times New Roman"/>
          <w:sz w:val="20"/>
          <w:szCs w:val="20"/>
        </w:rPr>
        <w:t>, S. Baldwin</w:t>
      </w:r>
      <w:r>
        <w:rPr>
          <w:rFonts w:ascii="Times New Roman" w:hAnsi="Times New Roman" w:cs="Times New Roman"/>
          <w:sz w:val="14"/>
          <w:szCs w:val="14"/>
        </w:rPr>
        <w:t>5</w:t>
      </w:r>
      <w:r>
        <w:rPr>
          <w:rFonts w:ascii="Times New Roman" w:hAnsi="Times New Roman" w:cs="Times New Roman"/>
          <w:sz w:val="20"/>
          <w:szCs w:val="20"/>
        </w:rPr>
        <w:t>, T. Zhou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P. Cameron-Smith</w:t>
      </w:r>
      <w:r>
        <w:rPr>
          <w:rFonts w:ascii="Times New Roman" w:hAnsi="Times New Roman" w:cs="Times New Roman"/>
          <w:sz w:val="14"/>
          <w:szCs w:val="14"/>
        </w:rPr>
        <w:t>5</w:t>
      </w:r>
      <w:r>
        <w:rPr>
          <w:rFonts w:ascii="Times New Roman" w:hAnsi="Times New Roman" w:cs="Times New Roman"/>
          <w:sz w:val="20"/>
          <w:szCs w:val="20"/>
        </w:rPr>
        <w:t>, N. Keen</w:t>
      </w:r>
      <w:r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 w:rsidR="00CF61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 Collier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20"/>
          <w:szCs w:val="20"/>
        </w:rPr>
        <w:t>, M. Xu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20"/>
          <w:szCs w:val="20"/>
        </w:rPr>
        <w:t>, E. C. Hunke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S. M. Elliott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A. K. Turner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0"/>
          <w:szCs w:val="20"/>
        </w:rPr>
        <w:t>, H. Li</w:t>
      </w:r>
      <w:r>
        <w:rPr>
          <w:rFonts w:ascii="Times New Roman" w:hAnsi="Times New Roman" w:cs="Times New Roman"/>
          <w:sz w:val="14"/>
          <w:szCs w:val="14"/>
        </w:rPr>
        <w:t>6</w:t>
      </w:r>
      <w:r>
        <w:rPr>
          <w:rFonts w:ascii="Times New Roman" w:hAnsi="Times New Roman" w:cs="Times New Roman"/>
          <w:sz w:val="20"/>
          <w:szCs w:val="20"/>
        </w:rPr>
        <w:t>,</w:t>
      </w:r>
      <w:r w:rsidR="00CF61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H. Wang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J.-C. Golaz</w:t>
      </w:r>
      <w:r>
        <w:rPr>
          <w:rFonts w:ascii="Times New Roman" w:hAnsi="Times New Roman" w:cs="Times New Roman"/>
          <w:sz w:val="14"/>
          <w:szCs w:val="14"/>
        </w:rPr>
        <w:t>5</w:t>
      </w:r>
      <w:r>
        <w:rPr>
          <w:rFonts w:ascii="Times New Roman" w:hAnsi="Times New Roman" w:cs="Times New Roman"/>
          <w:sz w:val="20"/>
          <w:szCs w:val="20"/>
        </w:rPr>
        <w:t>, B. Bond-Lamberty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F. M. Ho</w:t>
      </w:r>
      <w:r w:rsidR="00B40A97">
        <w:rPr>
          <w:rFonts w:ascii="Times New Roman" w:hAnsi="Times New Roman" w:cs="Times New Roman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z w:val="14"/>
          <w:szCs w:val="14"/>
        </w:rPr>
        <w:t>3;7</w:t>
      </w:r>
      <w:r>
        <w:rPr>
          <w:rFonts w:ascii="Times New Roman" w:hAnsi="Times New Roman" w:cs="Times New Roman"/>
          <w:sz w:val="20"/>
          <w:szCs w:val="20"/>
        </w:rPr>
        <w:t>, W. J. Riley</w:t>
      </w:r>
      <w:r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 w:rsidR="00CF61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P. E. Thornton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 w:val="20"/>
          <w:szCs w:val="20"/>
        </w:rPr>
        <w:t>, K. Calvin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0"/>
          <w:szCs w:val="20"/>
        </w:rPr>
        <w:t>, L. R. Leung</w:t>
      </w:r>
      <w:r>
        <w:rPr>
          <w:rFonts w:ascii="Times New Roman" w:hAnsi="Times New Roman" w:cs="Times New Roman"/>
          <w:sz w:val="14"/>
          <w:szCs w:val="14"/>
        </w:rPr>
        <w:t>1</w:t>
      </w:r>
    </w:p>
    <w:p w14:paraId="0C9DD51F" w14:textId="6098E8C3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28EBAFDD" w14:textId="77777777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1E05B4DF" w14:textId="1E17BB0E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2"/>
          <w:szCs w:val="12"/>
        </w:rPr>
        <w:t>1</w:t>
      </w:r>
      <w:r>
        <w:rPr>
          <w:rFonts w:ascii="Times New Roman" w:hAnsi="Times New Roman" w:cs="Times New Roman"/>
          <w:sz w:val="16"/>
          <w:szCs w:val="16"/>
        </w:rPr>
        <w:t>Paci</w:t>
      </w:r>
      <w:r w:rsidR="00926506">
        <w:rPr>
          <w:rFonts w:ascii="Times New Roman" w:hAnsi="Times New Roman" w:cs="Times New Roman"/>
          <w:sz w:val="16"/>
          <w:szCs w:val="16"/>
        </w:rPr>
        <w:t>fi</w:t>
      </w:r>
      <w:r>
        <w:rPr>
          <w:rFonts w:ascii="Times New Roman" w:hAnsi="Times New Roman" w:cs="Times New Roman"/>
          <w:sz w:val="16"/>
          <w:szCs w:val="16"/>
        </w:rPr>
        <w:t>c Northwest National Laboratory</w:t>
      </w:r>
    </w:p>
    <w:p w14:paraId="5BF881BD" w14:textId="02FEE84A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2"/>
          <w:szCs w:val="12"/>
        </w:rPr>
        <w:t>2</w:t>
      </w:r>
      <w:r>
        <w:rPr>
          <w:rFonts w:ascii="Times New Roman" w:hAnsi="Times New Roman" w:cs="Times New Roman"/>
          <w:sz w:val="16"/>
          <w:szCs w:val="16"/>
        </w:rPr>
        <w:t>Los Alamos National Laboratory</w:t>
      </w:r>
    </w:p>
    <w:p w14:paraId="67960860" w14:textId="10642E85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6"/>
          <w:szCs w:val="16"/>
        </w:rPr>
        <w:t>Oak Ridge National Laboratory</w:t>
      </w:r>
    </w:p>
    <w:p w14:paraId="01CC271E" w14:textId="78EA61DA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2"/>
          <w:szCs w:val="12"/>
        </w:rPr>
        <w:t>4</w:t>
      </w:r>
      <w:r>
        <w:rPr>
          <w:rFonts w:ascii="Times New Roman" w:hAnsi="Times New Roman" w:cs="Times New Roman"/>
          <w:sz w:val="16"/>
          <w:szCs w:val="16"/>
        </w:rPr>
        <w:t>Lawrence Berkeley National Laboratory</w:t>
      </w:r>
    </w:p>
    <w:p w14:paraId="10054E04" w14:textId="7209FD5A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6"/>
          <w:szCs w:val="16"/>
        </w:rPr>
        <w:t>Lawrence Livermore National Laboratory</w:t>
      </w:r>
    </w:p>
    <w:p w14:paraId="368EB810" w14:textId="5CE3E3F2" w:rsidR="00995ED2" w:rsidRDefault="00995ED2" w:rsidP="00995ED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6"/>
          <w:szCs w:val="16"/>
        </w:rPr>
        <w:t>University of Houston</w:t>
      </w:r>
    </w:p>
    <w:p w14:paraId="07364F3D" w14:textId="1C3808AB" w:rsidR="00995ED2" w:rsidRDefault="00995ED2" w:rsidP="00995ED2">
      <w:r>
        <w:rPr>
          <w:rFonts w:ascii="Times New Roman" w:hAnsi="Times New Roman" w:cs="Times New Roman"/>
          <w:sz w:val="12"/>
          <w:szCs w:val="12"/>
        </w:rPr>
        <w:t>7</w:t>
      </w:r>
      <w:r>
        <w:rPr>
          <w:rFonts w:ascii="Times New Roman" w:hAnsi="Times New Roman" w:cs="Times New Roman"/>
          <w:sz w:val="16"/>
          <w:szCs w:val="16"/>
        </w:rPr>
        <w:t>University of Tennessee, Knoxville</w:t>
      </w:r>
    </w:p>
    <w:p w14:paraId="4A040A4E" w14:textId="5D87FD1F" w:rsidR="0038423D" w:rsidRDefault="0038423D" w:rsidP="0038423D"/>
    <w:p w14:paraId="3316EE7E" w14:textId="5D7CC25B" w:rsidR="0038423D" w:rsidRDefault="0038423D" w:rsidP="0038423D">
      <w:r>
        <w:t>This presentation summarize</w:t>
      </w:r>
      <w:r w:rsidR="004576F4">
        <w:t>s</w:t>
      </w:r>
      <w:r>
        <w:t xml:space="preserve"> results from the E3SMv1.1-BGC coupled simulation campaign, which are described in a paper recently published in </w:t>
      </w:r>
      <w:r w:rsidRPr="0038423D">
        <w:rPr>
          <w:i/>
          <w:iCs/>
        </w:rPr>
        <w:t>JAMES</w:t>
      </w:r>
      <w:r>
        <w:t xml:space="preserve">.  The </w:t>
      </w:r>
      <w:r w:rsidR="004A4E62">
        <w:t xml:space="preserve">behavior of the </w:t>
      </w:r>
      <w:r>
        <w:t xml:space="preserve">land model is evaluated </w:t>
      </w:r>
      <w:r w:rsidR="004A4E62">
        <w:t xml:space="preserve">in a concentration-driven experiment over the historical period, by comparing the model with </w:t>
      </w:r>
      <w:r>
        <w:t xml:space="preserve">a broad range of </w:t>
      </w:r>
      <w:r w:rsidR="00552E68">
        <w:t xml:space="preserve">observations and </w:t>
      </w:r>
      <w:r>
        <w:t>metrics</w:t>
      </w:r>
      <w:r w:rsidR="004A4E62">
        <w:t>.</w:t>
      </w:r>
    </w:p>
    <w:p w14:paraId="7E6345F6" w14:textId="417FF204" w:rsidR="004A4E62" w:rsidRDefault="004A4E62" w:rsidP="0038423D"/>
    <w:p w14:paraId="14242B39" w14:textId="3CF63218" w:rsidR="001916F6" w:rsidRDefault="004A4E62" w:rsidP="0038423D">
      <w:r>
        <w:t>The land model performs well on the ILAMB scorecard,</w:t>
      </w:r>
      <w:r w:rsidR="004576F4">
        <w:t xml:space="preserve"> generally</w:t>
      </w:r>
      <w:r>
        <w:t xml:space="preserve"> out-performing its ancestor (CESM1-BGC) as well as a multi-model mean of CMIP5 models.  The </w:t>
      </w:r>
      <w:r w:rsidR="001916F6">
        <w:t xml:space="preserve">cumulative </w:t>
      </w:r>
      <w:r>
        <w:t xml:space="preserve">simulated historical </w:t>
      </w:r>
      <w:r w:rsidR="001916F6">
        <w:t xml:space="preserve">carbon </w:t>
      </w:r>
      <w:r>
        <w:t>uptake of terrestrial ecosystems is in good agreement with</w:t>
      </w:r>
      <w:r w:rsidR="00552E68">
        <w:t xml:space="preserve"> existing inventories</w:t>
      </w:r>
      <w:r>
        <w:t>.</w:t>
      </w:r>
      <w:r w:rsidR="000D1EEF">
        <w:t xml:space="preserve"> The default model is compared with an alternative </w:t>
      </w:r>
      <w:r w:rsidR="004576F4">
        <w:t xml:space="preserve">configuration </w:t>
      </w:r>
      <w:r w:rsidR="000D1EEF">
        <w:t>to gain insight into structural uncertainties in</w:t>
      </w:r>
      <w:r w:rsidR="004576F4">
        <w:t xml:space="preserve"> representation of terrestrial biogeochemistry</w:t>
      </w:r>
      <w:r w:rsidR="007705AF">
        <w:t>, for example, the impacts of</w:t>
      </w:r>
      <w:r w:rsidR="00865AF9">
        <w:t xml:space="preserve"> nutrient stresses </w:t>
      </w:r>
      <w:r w:rsidR="007705AF">
        <w:t>on</w:t>
      </w:r>
      <w:r w:rsidR="00865AF9">
        <w:t xml:space="preserve"> soil biogeochemistry </w:t>
      </w:r>
      <w:r w:rsidR="007705AF">
        <w:t>and</w:t>
      </w:r>
      <w:r w:rsidR="00865AF9">
        <w:t xml:space="preserve"> plant growth. </w:t>
      </w:r>
    </w:p>
    <w:p w14:paraId="34A808C7" w14:textId="77777777" w:rsidR="001916F6" w:rsidRDefault="001916F6" w:rsidP="0038423D"/>
    <w:p w14:paraId="196D10B5" w14:textId="4C87A928" w:rsidR="001916F6" w:rsidRDefault="001916F6" w:rsidP="001916F6">
      <w:r>
        <w:t>The ocean biogeochemistry simulates less biomass and slightly lower anthropogenic carbon uptake than observational estimates support over the historical period.  This is likely attributable to</w:t>
      </w:r>
      <w:r w:rsidRPr="001916F6">
        <w:t xml:space="preserve"> </w:t>
      </w:r>
      <w:r>
        <w:t>biases in ocean transport leading to widespread anoxia and undersupply of</w:t>
      </w:r>
    </w:p>
    <w:p w14:paraId="647462D6" w14:textId="0B6D05EE" w:rsidR="004A4E62" w:rsidRDefault="001916F6" w:rsidP="001916F6">
      <w:r>
        <w:t>nutrients to surface waters, issues that have been addressed in developments for the v2 model.</w:t>
      </w:r>
    </w:p>
    <w:p w14:paraId="7089323B" w14:textId="5A58F92B" w:rsidR="000D1EEF" w:rsidRDefault="000D1EEF" w:rsidP="001916F6"/>
    <w:p w14:paraId="7D9B4D8F" w14:textId="2BE4E7F1" w:rsidR="004576F4" w:rsidRDefault="004A4E62" w:rsidP="004576F4">
      <w:r>
        <w:t>The</w:t>
      </w:r>
      <w:r w:rsidR="004576F4">
        <w:t xml:space="preserve"> strength of</w:t>
      </w:r>
      <w:r>
        <w:t xml:space="preserve"> carbon-climate feedbacks in the model </w:t>
      </w:r>
      <w:r w:rsidR="004576F4">
        <w:t xml:space="preserve">is </w:t>
      </w:r>
      <w:r>
        <w:t>quantified</w:t>
      </w:r>
      <w:r w:rsidR="004576F4">
        <w:t>, including their evolution over the simulated historical period.  The inclusion of nutrient limitations in the land biogeochemistry results in weaker carbon fertilization and carbon-climate feedbacks than exhibited by other Earth System Models that exclude those limitations.</w:t>
      </w:r>
    </w:p>
    <w:p w14:paraId="07A2DFC5" w14:textId="0E6F4C88" w:rsidR="004576F4" w:rsidRDefault="004576F4" w:rsidP="004576F4"/>
    <w:p w14:paraId="5ED7A737" w14:textId="676532AC" w:rsidR="004576F4" w:rsidRDefault="004576F4" w:rsidP="004576F4">
      <w:r>
        <w:t>The simulations documented in this paper have been published on ESGF and constitute a portion of the E3SM submissions to the CMIP6 and C4MIP.</w:t>
      </w:r>
    </w:p>
    <w:p w14:paraId="6CE1662E" w14:textId="49FB5638" w:rsidR="004A4E62" w:rsidRDefault="004A4E62" w:rsidP="0038423D"/>
    <w:p w14:paraId="1FD46FF0" w14:textId="11530295" w:rsidR="00D6044D" w:rsidRDefault="00D6044D" w:rsidP="0038423D"/>
    <w:sectPr w:rsidR="00D6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D"/>
    <w:rsid w:val="000D1EEF"/>
    <w:rsid w:val="000D299E"/>
    <w:rsid w:val="000F7338"/>
    <w:rsid w:val="001916F6"/>
    <w:rsid w:val="0026665D"/>
    <w:rsid w:val="0038423D"/>
    <w:rsid w:val="003D355D"/>
    <w:rsid w:val="004576F4"/>
    <w:rsid w:val="00463614"/>
    <w:rsid w:val="004A4E62"/>
    <w:rsid w:val="004E547C"/>
    <w:rsid w:val="00552E68"/>
    <w:rsid w:val="007705AF"/>
    <w:rsid w:val="007E0E0B"/>
    <w:rsid w:val="00865AF9"/>
    <w:rsid w:val="00926506"/>
    <w:rsid w:val="00995ED2"/>
    <w:rsid w:val="00A22821"/>
    <w:rsid w:val="00B40A97"/>
    <w:rsid w:val="00C56679"/>
    <w:rsid w:val="00CF612A"/>
    <w:rsid w:val="00D6044D"/>
    <w:rsid w:val="00E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1A90"/>
  <w15:chartTrackingRefBased/>
  <w15:docId w15:val="{C3F03FE9-7E53-8541-B350-E6AC9F52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13201-8B40-459B-8ED7-094A445B822C}"/>
</file>

<file path=customXml/itemProps2.xml><?xml version="1.0" encoding="utf-8"?>
<ds:datastoreItem xmlns:ds="http://schemas.openxmlformats.org/officeDocument/2006/customXml" ds:itemID="{EE33DDB0-C5D8-470B-B9A9-E0BFE7B0ED73}"/>
</file>

<file path=customXml/itemProps3.xml><?xml version="1.0" encoding="utf-8"?>
<ds:datastoreItem xmlns:ds="http://schemas.openxmlformats.org/officeDocument/2006/customXml" ds:itemID="{5A1216C4-1132-4531-B221-4D4E006DE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Susannah</dc:creator>
  <cp:keywords/>
  <dc:description/>
  <cp:lastModifiedBy>Adkins-Ferber, Verda</cp:lastModifiedBy>
  <cp:revision>2</cp:revision>
  <dcterms:created xsi:type="dcterms:W3CDTF">2020-09-28T21:01:00Z</dcterms:created>
  <dcterms:modified xsi:type="dcterms:W3CDTF">2020-09-28T21:01:00Z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